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313" w:rsidRPr="00B77A8C" w:rsidRDefault="00141313" w:rsidP="002056EE">
      <w:pPr>
        <w:tabs>
          <w:tab w:val="left" w:pos="2977"/>
          <w:tab w:val="left" w:pos="3402"/>
          <w:tab w:val="left" w:pos="7513"/>
        </w:tabs>
        <w:rPr>
          <w:rFonts w:ascii="Arial" w:hAnsi="Arial" w:cs="Arial"/>
          <w:b/>
          <w:sz w:val="24"/>
          <w:szCs w:val="24"/>
          <w:lang w:val="en-US"/>
        </w:rPr>
      </w:pPr>
      <w:r w:rsidRPr="00B77A8C">
        <w:rPr>
          <w:rFonts w:ascii="Arial" w:hAnsi="Arial" w:cs="Arial"/>
          <w:b/>
          <w:sz w:val="24"/>
          <w:szCs w:val="24"/>
          <w:lang w:val="en-US"/>
        </w:rPr>
        <w:t>The genetics of age-related macular degeneration - The role of common and rare variants in disease predisposition</w:t>
      </w:r>
    </w:p>
    <w:p w:rsidR="00141313" w:rsidRDefault="00141313" w:rsidP="00141313">
      <w:pPr>
        <w:pStyle w:val="Default"/>
        <w:jc w:val="right"/>
        <w:rPr>
          <w:b/>
          <w:szCs w:val="23"/>
        </w:rPr>
      </w:pPr>
      <w:r w:rsidRPr="00141313">
        <w:rPr>
          <w:b/>
          <w:szCs w:val="23"/>
        </w:rPr>
        <w:lastRenderedPageBreak/>
        <w:t>Prof. Dr. Bernhard H. F. Weber</w:t>
      </w:r>
    </w:p>
    <w:p w:rsidR="00141313" w:rsidRDefault="00141313" w:rsidP="00141313">
      <w:pPr>
        <w:pStyle w:val="Default"/>
        <w:jc w:val="right"/>
        <w:rPr>
          <w:szCs w:val="23"/>
        </w:rPr>
      </w:pPr>
      <w:r w:rsidRPr="00141313">
        <w:rPr>
          <w:szCs w:val="23"/>
        </w:rPr>
        <w:t xml:space="preserve">Institut für </w:t>
      </w:r>
      <w:r>
        <w:rPr>
          <w:szCs w:val="23"/>
        </w:rPr>
        <w:t xml:space="preserve">Humangenetik der </w:t>
      </w:r>
      <w:r>
        <w:rPr>
          <w:szCs w:val="23"/>
        </w:rPr>
        <w:br/>
        <w:t>Unive</w:t>
      </w:r>
      <w:bookmarkStart w:id="0" w:name="_GoBack"/>
      <w:bookmarkEnd w:id="0"/>
      <w:r>
        <w:rPr>
          <w:szCs w:val="23"/>
        </w:rPr>
        <w:t>rsität Regensburg</w:t>
      </w:r>
    </w:p>
    <w:p w:rsidR="00141313" w:rsidRPr="00141313" w:rsidRDefault="00141313" w:rsidP="00141313">
      <w:pPr>
        <w:pStyle w:val="Default"/>
        <w:jc w:val="right"/>
        <w:rPr>
          <w:szCs w:val="23"/>
          <w:lang w:val="en-US"/>
        </w:rPr>
      </w:pPr>
      <w:r w:rsidRPr="00141313">
        <w:rPr>
          <w:szCs w:val="23"/>
        </w:rPr>
        <w:t xml:space="preserve"> </w:t>
      </w:r>
      <w:r w:rsidRPr="00141313">
        <w:rPr>
          <w:szCs w:val="23"/>
          <w:lang w:val="en-US"/>
        </w:rPr>
        <w:t>Regensburg, Germany</w:t>
      </w:r>
    </w:p>
    <w:p w:rsidR="00141313" w:rsidRPr="00141313" w:rsidRDefault="00141313" w:rsidP="00141313">
      <w:pPr>
        <w:pStyle w:val="Default"/>
        <w:rPr>
          <w:b/>
          <w:szCs w:val="23"/>
          <w:lang w:val="en-US"/>
        </w:rPr>
        <w:sectPr w:rsidR="00141313" w:rsidRPr="00141313" w:rsidSect="00C92F6F">
          <w:pgSz w:w="11907" w:h="16840" w:code="9"/>
          <w:pgMar w:top="1134" w:right="1134" w:bottom="1134" w:left="1134" w:header="709" w:footer="709" w:gutter="0"/>
          <w:cols w:num="2" w:space="708"/>
          <w:docGrid w:linePitch="360"/>
        </w:sectPr>
      </w:pPr>
    </w:p>
    <w:p w:rsidR="00141313" w:rsidRPr="00141313" w:rsidRDefault="00141313" w:rsidP="00141313">
      <w:pPr>
        <w:pStyle w:val="Default"/>
        <w:rPr>
          <w:b/>
          <w:szCs w:val="23"/>
          <w:lang w:val="en-US"/>
        </w:rPr>
      </w:pPr>
    </w:p>
    <w:p w:rsidR="00141313" w:rsidRPr="00141313" w:rsidRDefault="00141313" w:rsidP="00141313">
      <w:pPr>
        <w:pStyle w:val="Default"/>
        <w:rPr>
          <w:b/>
          <w:szCs w:val="23"/>
          <w:lang w:val="en-US"/>
        </w:rPr>
      </w:pPr>
    </w:p>
    <w:p w:rsidR="00141313" w:rsidRDefault="00141313" w:rsidP="00141313">
      <w:pPr>
        <w:pStyle w:val="Default"/>
        <w:rPr>
          <w:b/>
          <w:szCs w:val="23"/>
          <w:lang w:val="en-US"/>
        </w:rPr>
      </w:pPr>
    </w:p>
    <w:p w:rsidR="00141313" w:rsidRDefault="00141313" w:rsidP="00141313">
      <w:pPr>
        <w:pStyle w:val="Default"/>
        <w:rPr>
          <w:b/>
          <w:szCs w:val="23"/>
          <w:lang w:val="en-US"/>
        </w:rPr>
      </w:pPr>
    </w:p>
    <w:p w:rsidR="00141313" w:rsidRPr="00141313" w:rsidRDefault="00141313" w:rsidP="00141313">
      <w:pPr>
        <w:jc w:val="both"/>
        <w:rPr>
          <w:rFonts w:ascii="Arial" w:hAnsi="Arial" w:cs="Arial"/>
          <w:sz w:val="24"/>
          <w:szCs w:val="23"/>
          <w:lang w:val="en-US"/>
        </w:rPr>
      </w:pPr>
      <w:r w:rsidRPr="00141313">
        <w:rPr>
          <w:rFonts w:ascii="Arial" w:hAnsi="Arial" w:cs="Arial"/>
          <w:sz w:val="24"/>
          <w:szCs w:val="23"/>
          <w:lang w:val="en-US"/>
        </w:rPr>
        <w:t>In Western societies, age-related macular degeneration (AMD) is the leading cause of severe vision impairment in individuals over 70 years of age. Little is known, however, about the molecular mechanisms underlying disease development. Deciphering the major (and minor) genetic factors contributing to AMD pathology is needed to define disease pathways, and consequently to develop novel targets for therapeutic interventions.</w:t>
      </w:r>
    </w:p>
    <w:p w:rsidR="00141313" w:rsidRPr="00141313" w:rsidRDefault="00141313" w:rsidP="00141313">
      <w:pPr>
        <w:jc w:val="both"/>
        <w:rPr>
          <w:rFonts w:ascii="Arial" w:hAnsi="Arial" w:cs="Arial"/>
          <w:sz w:val="24"/>
          <w:szCs w:val="23"/>
          <w:lang w:val="en-US"/>
        </w:rPr>
      </w:pPr>
    </w:p>
    <w:p w:rsidR="00141313" w:rsidRPr="00141313" w:rsidRDefault="00141313" w:rsidP="00141313">
      <w:pPr>
        <w:jc w:val="both"/>
        <w:rPr>
          <w:rFonts w:ascii="Arial" w:hAnsi="Arial" w:cs="Arial"/>
          <w:sz w:val="24"/>
          <w:szCs w:val="23"/>
          <w:lang w:val="en-US"/>
        </w:rPr>
      </w:pPr>
      <w:r w:rsidRPr="00141313">
        <w:rPr>
          <w:rFonts w:ascii="Arial" w:hAnsi="Arial" w:cs="Arial"/>
          <w:sz w:val="24"/>
          <w:szCs w:val="23"/>
          <w:lang w:val="en-US"/>
        </w:rPr>
        <w:t xml:space="preserve">To date, at least 19 genetic loci have reliably been identified to confer risk to AMD disease. Major effects have been established for loci at CFH on chromosome 1q32 and ARMS2 / HTRA1 on 10q26. Variants at these two loci likely explain up to 50% of the AMD disease load. The crucial role of the complement system in AMD was further emphasized by associated risk variants in or near the three complement genes C2 / CFB, C3 and CFI. A second pathway is suggested by diseases association of variations in the APOE, LIPC, and CETP genes pointing to a role of cholesterol and lipid metabolism in AMD development. Further pathways associated with AMD risk loci are emerging involving the extracellular matrix and </w:t>
      </w:r>
      <w:proofErr w:type="spellStart"/>
      <w:r w:rsidRPr="00141313">
        <w:rPr>
          <w:rFonts w:ascii="Arial" w:hAnsi="Arial" w:cs="Arial"/>
          <w:sz w:val="24"/>
          <w:szCs w:val="23"/>
          <w:lang w:val="en-US"/>
        </w:rPr>
        <w:t>angiogenic</w:t>
      </w:r>
      <w:proofErr w:type="spellEnd"/>
      <w:r w:rsidRPr="00141313">
        <w:rPr>
          <w:rFonts w:ascii="Arial" w:hAnsi="Arial" w:cs="Arial"/>
          <w:sz w:val="24"/>
          <w:szCs w:val="23"/>
          <w:lang w:val="en-US"/>
        </w:rPr>
        <w:t xml:space="preserve"> processes in disease pathology.</w:t>
      </w:r>
    </w:p>
    <w:p w:rsidR="00141313" w:rsidRPr="00141313" w:rsidRDefault="00141313" w:rsidP="00141313">
      <w:pPr>
        <w:jc w:val="both"/>
        <w:rPr>
          <w:rFonts w:ascii="Arial" w:hAnsi="Arial" w:cs="Arial"/>
          <w:sz w:val="24"/>
          <w:szCs w:val="23"/>
          <w:lang w:val="en-US"/>
        </w:rPr>
      </w:pPr>
    </w:p>
    <w:p w:rsidR="00526012" w:rsidRPr="00141313" w:rsidRDefault="00141313" w:rsidP="00141313">
      <w:pPr>
        <w:jc w:val="both"/>
        <w:rPr>
          <w:lang w:val="en-US"/>
        </w:rPr>
      </w:pPr>
      <w:r w:rsidRPr="00141313">
        <w:rPr>
          <w:rFonts w:ascii="Arial" w:hAnsi="Arial" w:cs="Arial"/>
          <w:sz w:val="24"/>
          <w:szCs w:val="23"/>
          <w:lang w:val="en-US"/>
        </w:rPr>
        <w:t xml:space="preserve">Functional consequences of the disease-associated variants are still not well understood. Also, the role of rare (coding) variants in AMD pathology is only beginning to be defined. Studies are underway which make use of novel high-throughput technologies to identify rare variants with disease association but frequencies below 0.1%. Those rare variants are relevant only for a minority of overall AMD cases but likely confer high risk of disease for the respective carrier. For example, deep sequencing efforts at the CFH locus recently revealed a rare variant (R1210C) which appears to be a highly penetrant AMD mutation with a frequency of approximately 1.4% in AMD patients. Collectively, such rare variants could prove an important contributor to AMD disease. </w:t>
      </w:r>
      <w:proofErr w:type="spellStart"/>
      <w:r w:rsidRPr="00141313">
        <w:rPr>
          <w:rFonts w:ascii="Arial" w:hAnsi="Arial" w:cs="Arial"/>
          <w:sz w:val="24"/>
          <w:szCs w:val="23"/>
          <w:lang w:val="en-US"/>
        </w:rPr>
        <w:t>Unravelling</w:t>
      </w:r>
      <w:proofErr w:type="spellEnd"/>
      <w:r w:rsidRPr="00141313">
        <w:rPr>
          <w:rFonts w:ascii="Arial" w:hAnsi="Arial" w:cs="Arial"/>
          <w:sz w:val="24"/>
          <w:szCs w:val="23"/>
          <w:lang w:val="en-US"/>
        </w:rPr>
        <w:t xml:space="preserve"> the complete spectrum of AMD variants associated with disease pathology is under way and promises to shed light onto this highly frequent disease of the elderly population.</w:t>
      </w:r>
    </w:p>
    <w:sectPr w:rsidR="00526012" w:rsidRPr="00141313" w:rsidSect="00C92F6F">
      <w:type w:val="continuous"/>
      <w:pgSz w:w="11907" w:h="16840"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1313"/>
    <w:rsid w:val="00141313"/>
    <w:rsid w:val="002056EE"/>
    <w:rsid w:val="00526012"/>
    <w:rsid w:val="00633897"/>
    <w:rsid w:val="00642A97"/>
    <w:rsid w:val="00B5219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141313"/>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141313"/>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141313"/>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141313"/>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322</Words>
  <Characters>2032</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Interface GmbH &amp; Co KG</Company>
  <LinksUpToDate>false</LinksUpToDate>
  <CharactersWithSpaces>2350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Michaela Schulz</dc:creator>
  <cp:keywords/>
  <dc:description/>
  <cp:lastModifiedBy>Michaela Schulz</cp:lastModifiedBy>
  <cp:revision>2</cp:revision>
  <dcterms:created xsi:type="dcterms:W3CDTF">2012-06-28T11:47:00Z</dcterms:created>
  <dcterms:modified xsi:type="dcterms:W3CDTF">2012-07-03T09:06:00Z</dcterms:modified>
</cp:coreProperties>
</file>